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bCs/>
          <w:color w:val="000000"/>
          <w:sz w:val="28"/>
          <w:szCs w:val="28"/>
        </w:rPr>
      </w:pPr>
    </w:p>
    <w:tbl>
      <w:tblPr>
        <w:tblStyle w:val="9"/>
        <w:tblW w:w="90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533"/>
        <w:gridCol w:w="688"/>
        <w:gridCol w:w="615"/>
        <w:gridCol w:w="473"/>
        <w:gridCol w:w="474"/>
        <w:gridCol w:w="467"/>
        <w:gridCol w:w="533"/>
        <w:gridCol w:w="350"/>
        <w:gridCol w:w="498"/>
        <w:gridCol w:w="425"/>
        <w:gridCol w:w="80"/>
        <w:gridCol w:w="770"/>
        <w:gridCol w:w="283"/>
        <w:gridCol w:w="468"/>
        <w:gridCol w:w="264"/>
        <w:gridCol w:w="231"/>
        <w:gridCol w:w="616"/>
        <w:gridCol w:w="6"/>
        <w:gridCol w:w="572"/>
        <w:gridCol w:w="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9054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44"/>
                <w:szCs w:val="44"/>
              </w:rPr>
              <w:t>2021年抚顺职业技术学院整体绩效自评表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9054" w:type="dxa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1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部门（单位）名称</w:t>
            </w:r>
          </w:p>
        </w:tc>
        <w:tc>
          <w:tcPr>
            <w:tcW w:w="71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抚顺职业技术学院</w:t>
            </w:r>
          </w:p>
          <w:p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1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部门（单位）</w:t>
            </w:r>
          </w:p>
          <w:p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财政供养人员数量</w:t>
            </w:r>
          </w:p>
        </w:tc>
        <w:tc>
          <w:tcPr>
            <w:tcW w:w="46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739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所属单位数量（仅部门填列）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年度部门（单位）整体收支情况               （万元）</w:t>
            </w: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名 称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年初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预算数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全年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预算数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全年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执行数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执行率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年度部门预算收入小计（1至7项）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1.财政拨款收入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 xml:space="preserve">12,867.29 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 xml:space="preserve">12,867.29 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2.中央提前告知转移支付资金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3.纳入预算管理的行政事业性收费等非税收入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4.纳入政府性基金预算管理收入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pacing w:val="-8"/>
                <w:kern w:val="0"/>
                <w:szCs w:val="21"/>
              </w:rPr>
              <w:t>5.纳入专户管理的行政事业性收费等非税收入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6.上年结转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7.其他收入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年度部门预算支出小计（一+二）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一、基本支出（第1至4项小计）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11494.47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11494.47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12174.77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105.92%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1.工资福利支出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8582.2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8582.2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9331.65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108.69%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2.商品和服务支出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2625.13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2625.13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2610.35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99.44%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3.对个人和家庭的补助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287.14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287.14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232.77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81.06%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4.资本性支出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二、项目支出（第1至2项小计）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1372.82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1372.82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741.98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54.05%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1.履职保障类（部门经费类）项目支出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1372.82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1372.82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741.98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54.05%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651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2.事业发展类（专项资金类）项目支出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年度主要任务</w:t>
            </w: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工作名称</w:t>
            </w:r>
          </w:p>
        </w:tc>
        <w:tc>
          <w:tcPr>
            <w:tcW w:w="2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对应项目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年初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预算数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全年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预算数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全年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执行数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执行率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重点工作一</w:t>
            </w:r>
          </w:p>
        </w:tc>
        <w:tc>
          <w:tcPr>
            <w:tcW w:w="2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图书购置费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44.33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82.09%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重点工作二</w:t>
            </w:r>
          </w:p>
        </w:tc>
        <w:tc>
          <w:tcPr>
            <w:tcW w:w="2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保安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196.35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196.35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173.93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88.58%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重点工作三</w:t>
            </w:r>
          </w:p>
        </w:tc>
        <w:tc>
          <w:tcPr>
            <w:tcW w:w="2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学生奖助学金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144.07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144.07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1.76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0.01%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合计</w:t>
            </w:r>
          </w:p>
        </w:tc>
        <w:tc>
          <w:tcPr>
            <w:tcW w:w="2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394.42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394.42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年度绩效目标　</w:t>
            </w: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年初设定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目标</w:t>
            </w:r>
          </w:p>
        </w:tc>
        <w:tc>
          <w:tcPr>
            <w:tcW w:w="71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全年完成情况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39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目标1：提升学生工作质量</w:t>
            </w:r>
          </w:p>
        </w:tc>
        <w:tc>
          <w:tcPr>
            <w:tcW w:w="71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基本完成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39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目标2：提升服务保障能力</w:t>
            </w:r>
          </w:p>
        </w:tc>
        <w:tc>
          <w:tcPr>
            <w:tcW w:w="71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基本完成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39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……</w:t>
            </w:r>
          </w:p>
        </w:tc>
        <w:tc>
          <w:tcPr>
            <w:tcW w:w="71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9054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分解目标评价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809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一级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指标</w:t>
            </w: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二级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指标</w:t>
            </w:r>
          </w:p>
        </w:tc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三级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指标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年度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指标值</w:t>
            </w:r>
          </w:p>
        </w:tc>
        <w:tc>
          <w:tcPr>
            <w:tcW w:w="4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全年完成值</w:t>
            </w: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完成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程度</w:t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分值</w:t>
            </w:r>
          </w:p>
        </w:tc>
        <w:tc>
          <w:tcPr>
            <w:tcW w:w="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得分</w:t>
            </w:r>
          </w:p>
        </w:tc>
        <w:tc>
          <w:tcPr>
            <w:tcW w:w="31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未完成原因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（请在相应选项下划“√”并在原因说明中分项阐述）</w:t>
            </w:r>
          </w:p>
        </w:tc>
        <w:tc>
          <w:tcPr>
            <w:tcW w:w="5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809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运算符号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内容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度量单位</w:t>
            </w:r>
          </w:p>
        </w:tc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经费</w:t>
            </w:r>
            <w:r>
              <w:rPr>
                <w:rFonts w:hint="eastAsia"/>
                <w:b/>
                <w:bCs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sz w:val="20"/>
                <w:szCs w:val="20"/>
              </w:rPr>
              <w:t>保障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制度</w:t>
            </w:r>
            <w:r>
              <w:rPr>
                <w:rFonts w:hint="eastAsia"/>
                <w:b/>
                <w:bCs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sz w:val="20"/>
                <w:szCs w:val="20"/>
              </w:rPr>
              <w:t>保障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人员</w:t>
            </w:r>
            <w:r>
              <w:rPr>
                <w:rFonts w:hint="eastAsia"/>
                <w:b/>
                <w:bCs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sz w:val="20"/>
                <w:szCs w:val="20"/>
              </w:rPr>
              <w:t>保障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硬件条件保障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其他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原因</w:t>
            </w:r>
            <w:r>
              <w:rPr>
                <w:rFonts w:hint="eastAsia"/>
                <w:b/>
                <w:bCs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sz w:val="20"/>
                <w:szCs w:val="20"/>
              </w:rPr>
              <w:t>说明</w:t>
            </w:r>
          </w:p>
        </w:tc>
        <w:tc>
          <w:tcPr>
            <w:tcW w:w="5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履职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效能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重点工作履行情况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购置纸质图书册数</w:t>
            </w:r>
          </w:p>
        </w:tc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b/>
                <w:bCs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b/>
                <w:bCs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b/>
                <w:bCs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b/>
                <w:bCs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b/>
                <w:bCs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b/>
                <w:bCs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b/>
                <w:bCs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“=”“≤”“≥”“＜”“＞”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“=”“≤”“≥”“＜”“＞”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“=”“≤”“≥”“＜”“＞”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增加纸质图书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册</w:t>
            </w: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9400册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8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8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奖励或资助学生人次2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资助学生3511人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人</w:t>
            </w: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3511人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雇佣保安人次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保安101人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人</w:t>
            </w: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101人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整体工作完成情况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提升服务保障能力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提升服务保障能力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基本完成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7.2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由于经费投入有限、师资水平有限、学校的硬件设施投入不足，使学院的发展受限。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厉行节约，提高硬环境建设，提高师资水平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基础管理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提升学生工作能力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提升学生工作能力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基本完成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7.2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由于经费投入有限、师资水平有限、学校的硬件设施投入不足，使学院的发展受限。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厉行节约，提高硬环境建设，提高师资水平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执行</w:t>
            </w: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预算执行效率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图书购置完成情况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图书购置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44.33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82.09%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2.79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支付使用结余资金</w:t>
            </w: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资金支付时间由差异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提高预算的执行效率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保安费用支付情况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保安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173.93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88.58%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2.92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支付使用结余资金</w:t>
            </w: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资金支付时间由差异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提高预算的执行效率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本专科生国家助学金资助面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学生奖助学金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1.76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0.01%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3.3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0.033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支付使用结余资金</w:t>
            </w: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资金支付时间由差异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提高预算的执行效率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管理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效率</w:t>
            </w: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预算编制管理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预算完成率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按期完成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预算公开时限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按期公开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预算监督管理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预算执行情况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按预算执行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预算收支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收入完成情况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收入实现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支付标准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支付标准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财务决算完整性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财务决算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财务分析准确性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财务分析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资产管理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入账及时情况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及时入账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业务</w:t>
            </w:r>
            <w:r>
              <w:rPr>
                <w:rFonts w:hint="eastAsia" w:ascii="宋体" w:hAnsi="宋体" w:cs="宋体"/>
                <w:szCs w:val="21"/>
              </w:rPr>
              <w:t>管理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业务完成率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业务完成率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基本完成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0.96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由于经费投入有限、学校的硬件设施投入不足。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厉行节约，提高硬环境建设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运行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成本</w:t>
            </w: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成本控制成效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成本控制标准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成本在招标允许范围内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完成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　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社会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效应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社会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效应</w:t>
            </w: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政治效益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社会效益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社会满意度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树立良好的社会形象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基本完成　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90%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　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由于经费投入有限、师资水平有限、学校的硬件设施投入不足，使学院的发展受限。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厉行节约，提高硬环境建设，提高师资水平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经济效益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生态效益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服务对象满意度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师生满意度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师生满意度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90%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90%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由于经费投入有限、师资水平有限、学校的硬件设施投入不足，使学院的发展受限。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厉行节约，提高硬环境建设，提高师资水平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可持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续性</w:t>
            </w: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体制机制改革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创新驱动发展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高水平专业建设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高水平专业建设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部分达成　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65%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　10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由于经费投入有限、师资水平有限、学校的硬件设施投入不足，使学院的发展受限。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厉行节约，提高硬环境建设，提高师资水平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402" w:hRule="atLeast"/>
          <w:jc w:val="center"/>
        </w:trPr>
        <w:tc>
          <w:tcPr>
            <w:tcW w:w="44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总评价得分</w:t>
            </w:r>
          </w:p>
        </w:tc>
        <w:tc>
          <w:tcPr>
            <w:tcW w:w="456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79.403</w:t>
            </w:r>
          </w:p>
        </w:tc>
      </w:tr>
    </w:tbl>
    <w:p>
      <w:pPr>
        <w:spacing w:line="584" w:lineRule="exact"/>
        <w:rPr>
          <w:rFonts w:ascii="宋体" w:hAnsi="宋体" w:cs="宋体"/>
          <w:b/>
          <w:bCs/>
          <w:color w:val="00000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yOGIzODVkYzA0YTg1OTgyMGFlODlkZTk0YjZjODIifQ=="/>
  </w:docVars>
  <w:rsids>
    <w:rsidRoot w:val="007626A1"/>
    <w:rsid w:val="00035AAE"/>
    <w:rsid w:val="00091A81"/>
    <w:rsid w:val="000E09A2"/>
    <w:rsid w:val="000E2C50"/>
    <w:rsid w:val="000F2F9E"/>
    <w:rsid w:val="00136C11"/>
    <w:rsid w:val="0016083B"/>
    <w:rsid w:val="00206DA4"/>
    <w:rsid w:val="00347794"/>
    <w:rsid w:val="00364775"/>
    <w:rsid w:val="00400F1B"/>
    <w:rsid w:val="00445493"/>
    <w:rsid w:val="00453E5A"/>
    <w:rsid w:val="00461E65"/>
    <w:rsid w:val="00492348"/>
    <w:rsid w:val="00524EE4"/>
    <w:rsid w:val="005446C8"/>
    <w:rsid w:val="005E6377"/>
    <w:rsid w:val="0061077F"/>
    <w:rsid w:val="00627AF5"/>
    <w:rsid w:val="006876B9"/>
    <w:rsid w:val="007626A1"/>
    <w:rsid w:val="00795EC6"/>
    <w:rsid w:val="007A76F4"/>
    <w:rsid w:val="007E6BFB"/>
    <w:rsid w:val="00852247"/>
    <w:rsid w:val="0086409B"/>
    <w:rsid w:val="009C1614"/>
    <w:rsid w:val="00A01F3B"/>
    <w:rsid w:val="00A13454"/>
    <w:rsid w:val="00B1678D"/>
    <w:rsid w:val="00B50223"/>
    <w:rsid w:val="00B53A5C"/>
    <w:rsid w:val="00B652E7"/>
    <w:rsid w:val="00BD59FA"/>
    <w:rsid w:val="00C507D0"/>
    <w:rsid w:val="00C62DA7"/>
    <w:rsid w:val="00C663BA"/>
    <w:rsid w:val="00DE1B29"/>
    <w:rsid w:val="00DE4986"/>
    <w:rsid w:val="00E210A4"/>
    <w:rsid w:val="00EA23E6"/>
    <w:rsid w:val="00F036CB"/>
    <w:rsid w:val="00F10062"/>
    <w:rsid w:val="00F542C3"/>
    <w:rsid w:val="00F84079"/>
    <w:rsid w:val="00F96352"/>
    <w:rsid w:val="00FA0795"/>
    <w:rsid w:val="00FA2DCE"/>
    <w:rsid w:val="00FC4526"/>
    <w:rsid w:val="00FE56E7"/>
    <w:rsid w:val="056546ED"/>
    <w:rsid w:val="0CF85FE3"/>
    <w:rsid w:val="3CB052A2"/>
    <w:rsid w:val="419B747D"/>
    <w:rsid w:val="46F543C6"/>
    <w:rsid w:val="497C1CF7"/>
    <w:rsid w:val="4C114CCA"/>
    <w:rsid w:val="52DB0DDB"/>
    <w:rsid w:val="535812B3"/>
    <w:rsid w:val="56D871AB"/>
    <w:rsid w:val="6E6A3D7F"/>
    <w:rsid w:val="7ADB1A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rFonts w:ascii="等线" w:eastAsia="等线" w:cs="Arial"/>
      <w:b/>
      <w:bCs/>
      <w:kern w:val="44"/>
      <w:sz w:val="44"/>
      <w:szCs w:val="44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5"/>
    <w:qFormat/>
    <w:uiPriority w:val="0"/>
    <w:pPr>
      <w:ind w:firstLine="645"/>
    </w:pPr>
    <w:rPr>
      <w:rFonts w:ascii="仿宋_GB2312" w:eastAsia="仿宋_GB2312"/>
      <w:sz w:val="32"/>
      <w:szCs w:val="32"/>
    </w:rPr>
  </w:style>
  <w:style w:type="paragraph" w:styleId="5">
    <w:name w:val="Balloon Text"/>
    <w:basedOn w:val="1"/>
    <w:link w:val="16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character" w:customStyle="1" w:styleId="14">
    <w:name w:val="标题 1 Char"/>
    <w:basedOn w:val="10"/>
    <w:link w:val="2"/>
    <w:qFormat/>
    <w:uiPriority w:val="0"/>
    <w:rPr>
      <w:rFonts w:ascii="等线" w:hAnsi="Times New Roman" w:eastAsia="等线" w:cs="Arial"/>
      <w:b/>
      <w:bCs/>
      <w:kern w:val="44"/>
      <w:sz w:val="44"/>
      <w:szCs w:val="44"/>
    </w:rPr>
  </w:style>
  <w:style w:type="character" w:customStyle="1" w:styleId="15">
    <w:name w:val="正文文本缩进 Char"/>
    <w:basedOn w:val="10"/>
    <w:link w:val="4"/>
    <w:qFormat/>
    <w:uiPriority w:val="0"/>
    <w:rPr>
      <w:rFonts w:ascii="仿宋_GB2312" w:hAnsi="Times New Roman" w:eastAsia="仿宋_GB2312" w:cs="Times New Roman"/>
      <w:sz w:val="32"/>
      <w:szCs w:val="32"/>
    </w:rPr>
  </w:style>
  <w:style w:type="character" w:customStyle="1" w:styleId="16">
    <w:name w:val="批注框文本 Char"/>
    <w:basedOn w:val="10"/>
    <w:link w:val="5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0"/>
    <w:link w:val="6"/>
    <w:qFormat/>
    <w:uiPriority w:val="0"/>
    <w:rPr>
      <w:rFonts w:ascii="Times New Roman" w:hAnsi="Times New Roman" w:eastAsia="宋体" w:cs="Times New Roman"/>
      <w:sz w:val="18"/>
      <w:szCs w:val="24"/>
    </w:rPr>
  </w:style>
  <w:style w:type="character" w:customStyle="1" w:styleId="18">
    <w:name w:val="页眉 Char"/>
    <w:basedOn w:val="10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111"/>
    <w:basedOn w:val="10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22">
    <w:name w:val="font31"/>
    <w:basedOn w:val="10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3">
    <w:name w:val="font61"/>
    <w:basedOn w:val="10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paragraph" w:customStyle="1" w:styleId="24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customStyle="1" w:styleId="25">
    <w:name w:val="正文 New New New"/>
    <w:qFormat/>
    <w:uiPriority w:val="0"/>
    <w:pPr>
      <w:wordWrap w:val="0"/>
      <w:snapToGrid w:val="0"/>
      <w:spacing w:line="580" w:lineRule="atLeast"/>
      <w:ind w:firstLine="640"/>
      <w:jc w:val="both"/>
    </w:pPr>
    <w:rPr>
      <w:rFonts w:ascii="仿宋_GB2312" w:hAnsi="Arial" w:eastAsia="仿宋_GB2312" w:cs="Arial"/>
      <w:sz w:val="28"/>
      <w:szCs w:val="28"/>
      <w:lang w:val="en-US" w:eastAsia="zh-CN" w:bidi="ar-SA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7">
    <w:name w:val="样式7"/>
    <w:basedOn w:val="1"/>
    <w:qFormat/>
    <w:uiPriority w:val="0"/>
    <w:pPr>
      <w:spacing w:line="440" w:lineRule="exact"/>
      <w:ind w:firstLine="480" w:firstLineChars="200"/>
    </w:pPr>
    <w:rPr>
      <w:rFonts w:ascii="仿宋" w:hAnsi="仿宋" w:eastAsia="仿宋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F2676-4940-4F24-AB4B-084E01EDF6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1599</Words>
  <Characters>1947</Characters>
  <Lines>24</Lines>
  <Paragraphs>6</Paragraphs>
  <TotalTime>41</TotalTime>
  <ScaleCrop>false</ScaleCrop>
  <LinksUpToDate>false</LinksUpToDate>
  <CharactersWithSpaces>2000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2022-02-14T05:02:00Z</dcterms:created>
  <dc:creator>科教和文化科-孙明月</dc:creator>
  <cp:lastModifiedBy>梁佳</cp:lastModifiedBy>
  <dcterms:modified xsi:type="dcterms:W3CDTF">2022-08-03T04:50:13Z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1BE4F7ADDCE14645BD398FF8BFABB663</vt:lpwstr>
  </property>
</Properties>
</file>